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spacing w:after="0" w:line="240" w:lineRule="auto"/>
        <w:tabs>
          <w:tab w:val="left" w:pos="6804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ind w:left="5670"/>
        <w:spacing w:line="107" w:lineRule="exact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Приложение №1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670"/>
        <w:spacing w:line="107" w:lineRule="exact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к Договору возмездного оказания услуг 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  <w:sz w:val="24"/>
          <w:szCs w:val="24"/>
        </w:rPr>
      </w:r>
    </w:p>
    <w:p>
      <w:pPr>
        <w:ind w:left="5670"/>
        <w:spacing w:line="107" w:lineRule="exact"/>
        <w:tabs>
          <w:tab w:val="left" w:pos="1134" w:leader="none"/>
        </w:tabs>
        <w:rPr>
          <w:rFonts w:ascii="Times New Roman" w:hAnsi="Times New Roman" w:eastAsia="Times New Roman" w:cs="Times New Roman"/>
        </w:rPr>
      </w:pPr>
      <w:r>
        <w:rPr>
          <w:rFonts w:ascii="Times New Roman" w:hAnsi="Times New Roman" w:eastAsia="Times New Roman" w:cs="Times New Roman"/>
          <w:sz w:val="24"/>
          <w:szCs w:val="24"/>
        </w:rPr>
        <w:t xml:space="preserve">от «___»__________20__г.</w:t>
      </w: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left="5670"/>
        <w:spacing w:line="107" w:lineRule="exact"/>
        <w:tabs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</w:rPr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№ ______________ </w:t>
      </w:r>
      <w:r>
        <w:rPr>
          <w:rFonts w:ascii="Times New Roman" w:hAnsi="Times New Roman" w:cs="Times New Roman"/>
          <w:sz w:val="24"/>
          <w:szCs w:val="24"/>
        </w:rPr>
      </w:r>
      <w:r/>
    </w:p>
    <w:p>
      <w:pPr>
        <w:spacing w:after="0" w:line="240" w:lineRule="auto"/>
        <w:tabs>
          <w:tab w:val="left" w:pos="6804" w:leader="none"/>
        </w:tabs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 </w:t>
      </w:r>
      <w:r>
        <w:rPr>
          <w:rFonts w:ascii="Times New Roman" w:hAnsi="Times New Roman"/>
          <w:sz w:val="26"/>
          <w:szCs w:val="26"/>
        </w:rPr>
        <w:t xml:space="preserve">проведение </w:t>
      </w:r>
      <w:r>
        <w:rPr>
          <w:rFonts w:ascii="Times New Roman" w:hAnsi="Times New Roman"/>
          <w:sz w:val="26"/>
          <w:szCs w:val="26"/>
        </w:rPr>
        <w:t xml:space="preserve">закупки </w:t>
      </w:r>
      <w:r>
        <w:rPr>
          <w:rFonts w:ascii="Times New Roman" w:hAnsi="Times New Roman"/>
          <w:sz w:val="26"/>
          <w:szCs w:val="26"/>
        </w:rPr>
        <w:t xml:space="preserve">на</w:t>
      </w:r>
      <w:r>
        <w:rPr>
          <w:rFonts w:ascii="Times New Roman" w:hAnsi="Times New Roman"/>
          <w:sz w:val="26"/>
          <w:szCs w:val="26"/>
        </w:rPr>
        <w:t xml:space="preserve"> выполнение работ по защите информации объектов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информатизации (информационной (автоматизированной) системы) требованиям по безопасности информации, содержащей сведения, составляющие государственную тайну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left="708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87"/>
        <w:numPr>
          <w:ilvl w:val="0"/>
          <w:numId w:val="9"/>
        </w:num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Общие положения.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887"/>
        <w:ind w:left="1069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1.1 Заказчик: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Сибирь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Предмет закупки: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выполнение работ по защите информации объектов информатизации (информационной (автоматизированной) системы) требованиям по безопасности информации, содержащей сведения, составляющие государственную тайну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87"/>
        <w:numPr>
          <w:ilvl w:val="0"/>
          <w:numId w:val="9"/>
        </w:numPr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Место, срок 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условия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выполнения работ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pStyle w:val="887"/>
        <w:ind w:left="1069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2.1 Место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выполнения работ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: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Республика Тыва, г. Кызыл, ул.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Рабочая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д.4 кабинет №207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(2 этаж)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АО 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Сибирь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 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Срок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выполнения работ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течение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90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календарных дней с момента заключения договора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проведения работ.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3. Цена, перечень и объемы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выполнения работ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3.1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перечень и объемы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работ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 применяемого оборудования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указаны в приложении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№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1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к ТЗ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3.2.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работ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 применяемого оборудования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 включает в себя: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сборы, расходы на транспортировку продукции до места поставки, стоимость тары и упаковки, гарантийные обязательства</w:t>
      </w:r>
      <w:r>
        <w:rPr>
          <w:rFonts w:ascii="Times New Roman" w:hAnsi="Times New Roman" w:eastAsia="Times New Roman" w:cs="Times New Roman"/>
          <w:i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4. Общие требования к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оборудованию, применяемой при выполнении работ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4.1. Поставляемая продукция должна быть изготовлена в год поставки или предшествующий ему в зависимости от типа приобретаемой продукции.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Продукция должна быть ранее не использованной, и не подверженная ремонту или восстановлению.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4.3. Продукция должна снабжаться идентифицирующей и информационной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аркировк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ой, обеспечивающей потребителя полной информацией 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i/>
          <w:sz w:val="26"/>
          <w:szCs w:val="26"/>
        </w:rPr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Маркировка должна располагаться на продукции или на ее упаковке,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состоять из общепринятых знаков и символов, описательная часть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выполняться на русском языке, иметь четкие обозначения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 сохраняться на весь срок службы поставляемой продукции.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4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Продукция должна обеспечиваться необходимой технической документацией на русском языке: паспорт изделия, инструкция по эксплуатации и т.д.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5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Характеристики и требования к поставляемой продукции представлены в приложении 2 к настоящему техническому заданию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4.6.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«Поставляемая продукция должна быть включена в Единый реестр российской радиоэлектронной продукции (в соответствии с Постановлением Правительства Российской Федерации от 10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июля 2019 г. N878), в случае отсутствия отечественных аналогов продукции в Едином реестре российской радиоэлектронной продукции, в соответствии с Постановлением Правительства Российской Федерации от 14.06.2023 г. N980 должно быть предоставлено заключение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Минпромторга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Российской Феде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рации об отсутствии аналогов».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  <w:t xml:space="preserve">. Специальные требования к оборудованию, применяемому при выполнении работ.</w:t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r>
      <w:r>
        <w:rPr>
          <w:rFonts w:ascii="Times New Roman" w:hAnsi="Times New Roman" w:eastAsia="Times New Roman" w:cs="Times New Roman"/>
          <w:b/>
          <w:bCs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.1. Технические характеристики ПЭВМ указаны в Приложении № 1 к Техническому заданию.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.2. ПЭВМ должн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а обеспечивать возможность обработки информации, содержащей сведения, составляющие ГТ, а также соответствовать требования Приказа ФСТЭК России от 20.10.2016 № 025 и иметь действующий на момент приемки товара заказчиком сертификат соответствия ФСТЭК России.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.3. ПЭВМ должна пройти проц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едуру СП, проведенную в соответствии с требованиями действующих нормативных документов ФСБ России и иметь Заключение по её результатам. Заключение должно разрешать использование ПЭВМ в качестве ОТСС и ВТСС, устанавливаемых в ВП до 2 категории включительно.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.4. ПЭВМ долж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на пройти процедуру СИ по требованиям действующих нормативных документов ФСТЭК России и иметь протоколы и предписания на эксплуатацию. Предписания должны разрешать использование ПЭВМ в качестве ОТСС и ВТСС, устанавливаемых в ВП до 2 категории включительно.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.5. Значения зоны R2 ПЭВМ не должны превышать: 15 метров для НСР, 35 метров для ВСР.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.6. СИ ПЭВМ должны охватывать все возможные режимы обработки защищаемой информации (включая возможность обмена информации по сетевым протоколам), при установке рекомендуемого ОС экранного разрешения.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.7. ПЭВМ должна иметь следующие документы (передаются в момент поставки):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.7.1. Руководство по эксплуатации;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.7.2. Паспорт;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.7.3. Гарантийный талон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.8. Доставка отчетных материалов по результатам СП и СИ в адрес Заказч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ика осуществляется в соответствии с требованиями «Инструкции по обеспечению режима секретности в Российской Федерации» утвержденной Правительством Российской Федерации от 05.01.2004 г. № 3-1 по адресу секретной переписки: _________________________________.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.9. ПЭВМ должна быть укомплектована металлическими экранирующими заглушками для неиспользуемых интерфейсных портов. Заглушки конструктивно должны позволять проводить опечатывание портов.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.10. ПЭВМ должна иметь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 съемную металлическую крышку со стороны подключения кабелей, которая будет исключать возможность бесконтрольного подключения или отключения кабелей от системного блока, а также обеспечивать предотвращение бесконтрольного вскрытия корпуса системного блока.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5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  <w:t xml:space="preserve">.11. ПЭВМ должна иметь кабели для подключения к электрическим розеткам по стандарту CEE 7/7.</w:t>
      </w:r>
      <w:r>
        <w:rPr>
          <w:rFonts w:ascii="Times New Roman" w:hAnsi="Times New Roman" w:eastAsia="Times New Roman" w:cs="Times New Roman"/>
          <w:color w:val="000000"/>
          <w:sz w:val="26"/>
          <w:szCs w:val="26"/>
          <w:lang w:eastAsia="ru-RU"/>
        </w:rPr>
      </w:r>
      <w:r>
        <w:rPr>
          <w:rFonts w:ascii="Times New Roman" w:hAnsi="Times New Roman" w:cs="Times New Roman"/>
          <w:color w:val="000000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</w:rPr>
      </w:r>
      <w:bookmarkStart w:id="0" w:name="_GoBack"/>
      <w:r>
        <w:rPr>
          <w:rFonts w:ascii="Times New Roman" w:hAnsi="Times New Roman" w:eastAsia="Times New Roman" w:cs="Times New Roman"/>
        </w:rPr>
      </w:r>
      <w:bookmarkEnd w:id="0"/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6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. Гарантийные обязательства.</w:t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eastAsia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гарантии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выполняемые работы и применяемое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оборудование должен быть не менее 12 месяцев,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или установленный заводом изготовителем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Время начала исчисления гарантийного срока – с момента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приемки работ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устранять любые дефекты в поставляемом оборудовании, материалах, выявленные в течение гарантийного срока.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  <w:sectPr>
          <w:footerReference w:type="default" r:id="rId9"/>
          <w:footnotePr/>
          <w:endnotePr/>
          <w:type w:val="nextPage"/>
          <w:pgSz w:w="12240" w:h="15840" w:orient="portrait"/>
          <w:pgMar w:top="567" w:right="567" w:bottom="568" w:left="993" w:header="720" w:footer="0" w:gutter="0"/>
          <w:cols w:num="1" w:sep="0" w:space="720" w:equalWidth="1"/>
          <w:docGrid w:linePitch="360"/>
        </w:sect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Приложение № 1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right"/>
        <w:spacing w:after="0"/>
        <w:rPr>
          <w:rFonts w:ascii="Times New Roman" w:hAnsi="Times New Roman" w:eastAsia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/>
          <w:sz w:val="24"/>
          <w:szCs w:val="24"/>
          <w:lang w:eastAsia="ru-RU"/>
        </w:rPr>
        <w:t xml:space="preserve">к Техническому заданию</w:t>
      </w:r>
      <w:r>
        <w:rPr>
          <w:rFonts w:ascii="Times New Roman" w:hAnsi="Times New Roman" w:eastAsia="Times New Roman"/>
          <w:sz w:val="24"/>
          <w:szCs w:val="24"/>
          <w:lang w:eastAsia="ru-RU"/>
        </w:rPr>
      </w:r>
      <w:r>
        <w:rPr>
          <w:rFonts w:ascii="Times New Roman" w:hAnsi="Times New Roman" w:eastAsia="Times New Roman"/>
          <w:sz w:val="24"/>
          <w:szCs w:val="24"/>
          <w:lang w:eastAsia="ru-RU"/>
        </w:rPr>
      </w:r>
    </w:p>
    <w:p>
      <w:pPr>
        <w:jc w:val="center"/>
        <w:spacing w:before="240" w:after="0"/>
        <w:rPr>
          <w:rFonts w:ascii="Times New Roman" w:hAnsi="Times New Roman" w:eastAsia="Times New Roman"/>
          <w:b/>
          <w:sz w:val="24"/>
          <w:szCs w:val="24"/>
          <w:lang w:eastAsia="ru-RU"/>
        </w:rPr>
      </w:pPr>
      <w:r>
        <w:rPr>
          <w:rFonts w:ascii="Times New Roman" w:hAnsi="Times New Roman" w:eastAsia="Times New Roman"/>
          <w:b/>
          <w:sz w:val="24"/>
          <w:szCs w:val="24"/>
          <w:lang w:eastAsia="ru-RU"/>
        </w:rPr>
        <w:t xml:space="preserve">ТЕХНИЧЕСКИЕ ХАРАКТЕРИСТИКИ ТОВАРА</w:t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  <w:r>
        <w:rPr>
          <w:rFonts w:ascii="Times New Roman" w:hAnsi="Times New Roman" w:eastAsia="Times New Roman"/>
          <w:b/>
          <w:sz w:val="24"/>
          <w:szCs w:val="24"/>
          <w:lang w:eastAsia="ru-RU"/>
        </w:rPr>
      </w: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822"/>
        <w:gridCol w:w="2754"/>
        <w:gridCol w:w="6883"/>
        <w:gridCol w:w="2895"/>
        <w:gridCol w:w="691"/>
        <w:gridCol w:w="650"/>
      </w:tblGrid>
      <w:tr>
        <w:tblPrEx/>
        <w:trPr>
          <w:trHeight w:val="20"/>
          <w:tblHeader/>
        </w:trPr>
        <w:tc>
          <w:tcPr>
            <w:tcW w:w="280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№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4263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Наименование и технические характеристики товара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Ед. изм.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Кол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-во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textDirection w:val="lrTb"/>
            <w:noWrap w:val="false"/>
          </w:tcPr>
          <w:p>
            <w:pPr>
              <w:numPr>
                <w:ilvl w:val="0"/>
                <w:numId w:val="10"/>
              </w:numPr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4263" w:type="pct"/>
            <w:vAlign w:val="center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ПЭВМ в защищенном исполнении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  <w:t xml:space="preserve">к-т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ff0000"/>
            <w:tcW w:w="222" w:type="pc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textDirection w:val="lrTb"/>
            <w:noWrap w:val="false"/>
          </w:tcPr>
          <w:p>
            <w:pPr>
              <w:numPr>
                <w:ilvl w:val="1"/>
                <w:numId w:val="10"/>
              </w:numPr>
              <w:ind w:left="432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gridSpan w:val="3"/>
            <w:shd w:val="clear" w:color="auto" w:fill="auto"/>
            <w:tcW w:w="4263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Системный блок: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Процессор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Количество ядер, 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6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Количество потоков, 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12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Базовая тактовая частота, МГц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27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Оперативная память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Объем установленной памяти, ГБ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Графическая система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встроенная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Оптический привод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внутренний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Метод загрузки дисков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выдвижной лоток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Формат носителей (чтения и запись)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DVD/CD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Сетевой контроллер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Скорости передачи данных, Мбит/с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1000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встроенный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Накопитель данных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Объем, ГБ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500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твердотельный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Корпус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Материал корпуса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пластик, металл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Кнопка включения питания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Кнопка сброса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Петля для установки висячего замка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Индикация включения/работы НМЖД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Поддержка замка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Kensington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Датчик вскрытия корпуса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Устройство для установки и извлечения накопителя данных без вскрытия корпуса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76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Блок питания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Мощность, Вт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более 300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Выход для подключения питания монитора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СДЗ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Должно быть сертифицировано ФСТЭК России на соответствие требова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ниям по безопасности информации, установленным в документах: «Требования к средствам доверенной загрузки» (ФСТЭК России, 2013) и «Профиль защиты средства доверенной загрузки уровня платы расширения второго класса защиты ИТ.СДЗ.ПР2.П3» (ФСТЭК России, 2013).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Merge w:val="restart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numPr>
                <w:ilvl w:val="2"/>
                <w:numId w:val="10"/>
              </w:numPr>
              <w:ind w:left="504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jc w:val="both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Количество идентификаторов в комплекте, 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10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1"/>
                <w:numId w:val="10"/>
              </w:numPr>
              <w:ind w:left="432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Клавиатура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проводная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Количество клавиш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104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Интерфейс подключения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USB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1"/>
                <w:numId w:val="10"/>
              </w:numPr>
              <w:ind w:left="432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Мышь 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 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проводная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 датчика перемещения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оптический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Интерфейс подключения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USB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1"/>
                <w:numId w:val="10"/>
              </w:numPr>
              <w:ind w:left="432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Монитор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000000" w:fill="ffffff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Диагональ экрана, дюймов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000000" w:fill="ffffff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2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3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,8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Разрешение экрана, пикселей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1920х1080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Яркость, кд/кв. м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250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Углы обзора, по горизонтали/по вертикали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178/178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35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tcW w:w="222" w:type="pct"/>
            <w:vMerge w:val="continue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restart"/>
            <w:textDirection w:val="lrTb"/>
            <w:noWrap w:val="false"/>
          </w:tcPr>
          <w:p>
            <w:pPr>
              <w:numPr>
                <w:ilvl w:val="1"/>
                <w:numId w:val="10"/>
              </w:numPr>
              <w:ind w:left="432"/>
              <w:jc w:val="center"/>
              <w:spacing w:after="0" w:line="240" w:lineRule="auto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Источник бесперебойного питания (ИБП)</w:t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Линейно-интерактивный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Выходная мощность, ВА/Вт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700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/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420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Защита сети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Интерфейс USB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Количество выходных розеток типа EURO, с батарейной поддержкой, 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Количество выходных розеток типа EURO,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байпассные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 с фильтрацией, 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Напряжение при питании от батареи, В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220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W w:w="280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37" w:type="pct"/>
            <w:vAlign w:val="center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42" w:type="pct"/>
            <w:vAlign w:val="center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ЖК дисплей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984" w:type="pct"/>
            <w:vAlign w:val="center"/>
            <w:textDirection w:val="lrTb"/>
            <w:noWrap w:val="false"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35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W w:w="222" w:type="pct"/>
            <w:vAlign w:val="center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80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937" w:type="pct"/>
            <w:vMerge w:val="restart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  <w:t xml:space="preserve">МФУ</w:t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Тип печати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черно-белая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35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221" w:type="pct"/>
            <w:vMerge w:val="restart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Технология печати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лазерная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Функции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печать, сканер, копир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Нагрузка в месяц, шт.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 000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Максимальный формат печати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А4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Максимальное разрешение для ч/б печати,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dpi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4800x600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Максимальное сканера для ч/б печати,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dpi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1200x1200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Скорость печати, стр./мин (ч/б А4) 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38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Автоматическое двустороннее сканирование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Автоподача оригиналов для сканирования, листов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50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Объем памяти, Мб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512 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Частота процессора, МГц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1200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Интерфейсы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1хUSB, 1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  <w:t xml:space="preserve">xRJ45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en-US"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Цветной ЖК-дисплей 2,7 дюйма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Предустановленный тонер-картридж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Ресурс предустановленного тонер-картриджа, страниц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не менее 3000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  <w:tr>
        <w:tblPrEx/>
        <w:trPr>
          <w:trHeight w:val="20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80" w:type="pct"/>
            <w:vMerge w:val="continue"/>
            <w:textDirection w:val="lrTb"/>
            <w:noWrap w:val="false"/>
          </w:tcPr>
          <w:p>
            <w:pPr>
              <w:ind w:left="432" w:hanging="432"/>
              <w:jc w:val="center"/>
              <w:spacing w:after="0"/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37" w:type="pct"/>
            <w:vMerge w:val="continue"/>
            <w:textDirection w:val="lrTb"/>
            <w:noWrap w:val="false"/>
          </w:tcPr>
          <w:p>
            <w:pPr>
              <w:spacing w:after="0"/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b/>
                <w:bCs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42" w:type="pct"/>
            <w:vAlign w:val="center"/>
            <w:textDirection w:val="lrTb"/>
            <w:noWrap/>
          </w:tcPr>
          <w:p>
            <w:pPr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Кабель подключения USB 1,8м.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985" w:type="pct"/>
            <w:vAlign w:val="center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  <w:t xml:space="preserve">наличие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35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  <w:tc>
          <w:tcPr>
            <w:shd w:val="clear" w:color="auto" w:fill="auto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21" w:type="pct"/>
            <w:vMerge w:val="continue"/>
            <w:textDirection w:val="lrTb"/>
            <w:noWrap/>
          </w:tcPr>
          <w:p>
            <w:pPr>
              <w:jc w:val="center"/>
              <w:spacing w:after="0"/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eastAsia="ru-RU"/>
              </w:rPr>
            </w:r>
          </w:p>
        </w:tc>
      </w:tr>
    </w:tbl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jc w:val="right"/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p>
      <w:pPr>
        <w:spacing w:after="0" w:line="240" w:lineRule="auto"/>
        <w:rPr>
          <w:rFonts w:ascii="Times New Roman" w:hAnsi="Times New Roman" w:eastAsia="Times New Roman"/>
          <w:sz w:val="26"/>
          <w:szCs w:val="26"/>
        </w:rPr>
      </w:pP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  <w:r>
        <w:rPr>
          <w:rFonts w:ascii="Times New Roman" w:hAnsi="Times New Roman" w:eastAsia="Times New Roman"/>
          <w:sz w:val="26"/>
          <w:szCs w:val="26"/>
        </w:rPr>
      </w:r>
    </w:p>
    <w:sectPr>
      <w:footnotePr/>
      <w:endnotePr/>
      <w:type w:val="nextPage"/>
      <w:pgSz w:w="15840" w:h="12240" w:orient="landscape"/>
      <w:pgMar w:top="993" w:right="567" w:bottom="567" w:left="568" w:header="720" w:footer="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ahoma">
    <w:panose1 w:val="020B060403050404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9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6</w:t>
    </w:r>
    <w:r>
      <w:fldChar w:fldCharType="end"/>
    </w:r>
    <w:r/>
  </w:p>
  <w:p>
    <w:pPr>
      <w:pStyle w:val="87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8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50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22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4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6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8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10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829" w:hanging="180"/>
      </w:p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rFonts w:hint="default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abstractNum w:abstractNumId="8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space"/>
      <w:lvlText w:val="%1.%2.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isLgl w:val="false"/>
      <w:suff w:val="space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1429" w:hanging="360"/>
      </w:pPr>
      <w:rPr>
        <w:rFonts w:hint="default" w:ascii="Symbol" w:hAnsi="Symbol"/>
        <w:color w:val="auto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num w:numId="1">
    <w:abstractNumId w:val="4"/>
  </w:num>
  <w:num w:numId="2">
    <w:abstractNumId w:val="1"/>
  </w:num>
  <w:num w:numId="3">
    <w:abstractNumId w:val="7"/>
  </w:num>
  <w:num w:numId="4">
    <w:abstractNumId w:val="5"/>
  </w:num>
  <w:num w:numId="5">
    <w:abstractNumId w:val="6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2">
    <w:name w:val="Heading 1 Char"/>
    <w:basedOn w:val="866"/>
    <w:link w:val="865"/>
    <w:uiPriority w:val="9"/>
    <w:rPr>
      <w:rFonts w:ascii="Arial" w:hAnsi="Arial" w:eastAsia="Arial" w:cs="Arial"/>
      <w:sz w:val="40"/>
      <w:szCs w:val="40"/>
    </w:rPr>
  </w:style>
  <w:style w:type="paragraph" w:styleId="693">
    <w:name w:val="Heading 2"/>
    <w:basedOn w:val="864"/>
    <w:next w:val="864"/>
    <w:link w:val="694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94">
    <w:name w:val="Heading 2 Char"/>
    <w:basedOn w:val="866"/>
    <w:link w:val="693"/>
    <w:uiPriority w:val="9"/>
    <w:rPr>
      <w:rFonts w:ascii="Arial" w:hAnsi="Arial" w:eastAsia="Arial" w:cs="Arial"/>
      <w:sz w:val="34"/>
    </w:rPr>
  </w:style>
  <w:style w:type="paragraph" w:styleId="695">
    <w:name w:val="Heading 3"/>
    <w:basedOn w:val="864"/>
    <w:next w:val="864"/>
    <w:link w:val="696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96">
    <w:name w:val="Heading 3 Char"/>
    <w:basedOn w:val="866"/>
    <w:link w:val="695"/>
    <w:uiPriority w:val="9"/>
    <w:rPr>
      <w:rFonts w:ascii="Arial" w:hAnsi="Arial" w:eastAsia="Arial" w:cs="Arial"/>
      <w:sz w:val="30"/>
      <w:szCs w:val="30"/>
    </w:rPr>
  </w:style>
  <w:style w:type="paragraph" w:styleId="697">
    <w:name w:val="Heading 4"/>
    <w:basedOn w:val="864"/>
    <w:next w:val="864"/>
    <w:link w:val="698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98">
    <w:name w:val="Heading 4 Char"/>
    <w:basedOn w:val="866"/>
    <w:link w:val="697"/>
    <w:uiPriority w:val="9"/>
    <w:rPr>
      <w:rFonts w:ascii="Arial" w:hAnsi="Arial" w:eastAsia="Arial" w:cs="Arial"/>
      <w:b/>
      <w:bCs/>
      <w:sz w:val="26"/>
      <w:szCs w:val="26"/>
    </w:rPr>
  </w:style>
  <w:style w:type="paragraph" w:styleId="699">
    <w:name w:val="Heading 5"/>
    <w:basedOn w:val="864"/>
    <w:next w:val="864"/>
    <w:link w:val="700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00">
    <w:name w:val="Heading 5 Char"/>
    <w:basedOn w:val="866"/>
    <w:link w:val="699"/>
    <w:uiPriority w:val="9"/>
    <w:rPr>
      <w:rFonts w:ascii="Arial" w:hAnsi="Arial" w:eastAsia="Arial" w:cs="Arial"/>
      <w:b/>
      <w:bCs/>
      <w:sz w:val="24"/>
      <w:szCs w:val="24"/>
    </w:rPr>
  </w:style>
  <w:style w:type="paragraph" w:styleId="701">
    <w:name w:val="Heading 6"/>
    <w:basedOn w:val="864"/>
    <w:next w:val="864"/>
    <w:link w:val="70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2">
    <w:name w:val="Heading 6 Char"/>
    <w:basedOn w:val="866"/>
    <w:link w:val="701"/>
    <w:uiPriority w:val="9"/>
    <w:rPr>
      <w:rFonts w:ascii="Arial" w:hAnsi="Arial" w:eastAsia="Arial" w:cs="Arial"/>
      <w:b/>
      <w:bCs/>
      <w:sz w:val="22"/>
      <w:szCs w:val="22"/>
    </w:rPr>
  </w:style>
  <w:style w:type="paragraph" w:styleId="703">
    <w:name w:val="Heading 7"/>
    <w:basedOn w:val="864"/>
    <w:next w:val="864"/>
    <w:link w:val="704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04">
    <w:name w:val="Heading 7 Char"/>
    <w:basedOn w:val="866"/>
    <w:link w:val="703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5">
    <w:name w:val="Heading 8"/>
    <w:basedOn w:val="864"/>
    <w:next w:val="864"/>
    <w:link w:val="70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06">
    <w:name w:val="Heading 8 Char"/>
    <w:basedOn w:val="866"/>
    <w:link w:val="705"/>
    <w:uiPriority w:val="9"/>
    <w:rPr>
      <w:rFonts w:ascii="Arial" w:hAnsi="Arial" w:eastAsia="Arial" w:cs="Arial"/>
      <w:i/>
      <w:iCs/>
      <w:sz w:val="22"/>
      <w:szCs w:val="22"/>
    </w:rPr>
  </w:style>
  <w:style w:type="paragraph" w:styleId="707">
    <w:name w:val="Heading 9"/>
    <w:basedOn w:val="864"/>
    <w:next w:val="864"/>
    <w:link w:val="708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08">
    <w:name w:val="Heading 9 Char"/>
    <w:basedOn w:val="866"/>
    <w:link w:val="707"/>
    <w:uiPriority w:val="9"/>
    <w:rPr>
      <w:rFonts w:ascii="Arial" w:hAnsi="Arial" w:eastAsia="Arial" w:cs="Arial"/>
      <w:i/>
      <w:iCs/>
      <w:sz w:val="21"/>
      <w:szCs w:val="21"/>
    </w:rPr>
  </w:style>
  <w:style w:type="paragraph" w:styleId="709">
    <w:name w:val="No Spacing"/>
    <w:uiPriority w:val="1"/>
    <w:qFormat/>
    <w:pPr>
      <w:spacing w:before="0" w:after="0" w:line="240" w:lineRule="auto"/>
    </w:pPr>
  </w:style>
  <w:style w:type="paragraph" w:styleId="710">
    <w:name w:val="Title"/>
    <w:basedOn w:val="864"/>
    <w:next w:val="864"/>
    <w:link w:val="711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11">
    <w:name w:val="Title Char"/>
    <w:basedOn w:val="866"/>
    <w:link w:val="710"/>
    <w:uiPriority w:val="10"/>
    <w:rPr>
      <w:sz w:val="48"/>
      <w:szCs w:val="48"/>
    </w:rPr>
  </w:style>
  <w:style w:type="paragraph" w:styleId="712">
    <w:name w:val="Subtitle"/>
    <w:basedOn w:val="864"/>
    <w:next w:val="864"/>
    <w:link w:val="713"/>
    <w:uiPriority w:val="11"/>
    <w:qFormat/>
    <w:pPr>
      <w:spacing w:before="200" w:after="200"/>
    </w:pPr>
    <w:rPr>
      <w:sz w:val="24"/>
      <w:szCs w:val="24"/>
    </w:rPr>
  </w:style>
  <w:style w:type="character" w:styleId="713">
    <w:name w:val="Subtitle Char"/>
    <w:basedOn w:val="866"/>
    <w:link w:val="712"/>
    <w:uiPriority w:val="11"/>
    <w:rPr>
      <w:sz w:val="24"/>
      <w:szCs w:val="24"/>
    </w:rPr>
  </w:style>
  <w:style w:type="paragraph" w:styleId="714">
    <w:name w:val="Quote"/>
    <w:basedOn w:val="864"/>
    <w:next w:val="864"/>
    <w:link w:val="715"/>
    <w:uiPriority w:val="29"/>
    <w:qFormat/>
    <w:pPr>
      <w:ind w:left="720" w:right="720"/>
    </w:pPr>
    <w:rPr>
      <w:i/>
    </w:rPr>
  </w:style>
  <w:style w:type="character" w:styleId="715">
    <w:name w:val="Quote Char"/>
    <w:link w:val="714"/>
    <w:uiPriority w:val="29"/>
    <w:rPr>
      <w:i/>
    </w:rPr>
  </w:style>
  <w:style w:type="paragraph" w:styleId="716">
    <w:name w:val="Intense Quote"/>
    <w:basedOn w:val="864"/>
    <w:next w:val="864"/>
    <w:link w:val="717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17">
    <w:name w:val="Intense Quote Char"/>
    <w:link w:val="716"/>
    <w:uiPriority w:val="30"/>
    <w:rPr>
      <w:i/>
    </w:rPr>
  </w:style>
  <w:style w:type="character" w:styleId="718">
    <w:name w:val="Header Char"/>
    <w:basedOn w:val="866"/>
    <w:link w:val="877"/>
    <w:uiPriority w:val="99"/>
  </w:style>
  <w:style w:type="character" w:styleId="719">
    <w:name w:val="Footer Char"/>
    <w:basedOn w:val="866"/>
    <w:link w:val="879"/>
    <w:uiPriority w:val="99"/>
  </w:style>
  <w:style w:type="paragraph" w:styleId="720">
    <w:name w:val="Caption"/>
    <w:basedOn w:val="864"/>
    <w:next w:val="864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21">
    <w:name w:val="Caption Char"/>
    <w:basedOn w:val="720"/>
    <w:link w:val="879"/>
    <w:uiPriority w:val="99"/>
  </w:style>
  <w:style w:type="table" w:styleId="722">
    <w:name w:val="Table Grid Light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23">
    <w:name w:val="Plain Table 1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4">
    <w:name w:val="Plain Table 2"/>
    <w:basedOn w:val="86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25">
    <w:name w:val="Plain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26">
    <w:name w:val="Plain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7">
    <w:name w:val="Plain Table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28">
    <w:name w:val="Grid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9">
    <w:name w:val="Grid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0">
    <w:name w:val="Grid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1">
    <w:name w:val="Grid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2">
    <w:name w:val="Grid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3">
    <w:name w:val="Grid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4">
    <w:name w:val="Grid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35">
    <w:name w:val="Grid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0">
    <w:name w:val="Grid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1">
    <w:name w:val="Grid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2">
    <w:name w:val="Grid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3">
    <w:name w:val="Grid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4">
    <w:name w:val="Grid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50">
    <w:name w:val="Grid Table 4 - Accent 1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51">
    <w:name w:val="Grid Table 4 - Accent 2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52">
    <w:name w:val="Grid Table 4 - Accent 3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53">
    <w:name w:val="Grid Table 4 - Accent 4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54">
    <w:name w:val="Grid Table 4 - Accent 5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55">
    <w:name w:val="Grid Table 4 - Accent 6"/>
    <w:basedOn w:val="86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56">
    <w:name w:val="Grid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57">
    <w:name w:val="Grid Table 5 Dark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58">
    <w:name w:val="Grid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59">
    <w:name w:val="Grid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60">
    <w:name w:val="Grid Table 5 Dark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61">
    <w:name w:val="Grid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62">
    <w:name w:val="Grid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63">
    <w:name w:val="Grid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64">
    <w:name w:val="Grid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65">
    <w:name w:val="Grid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66">
    <w:name w:val="Grid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67">
    <w:name w:val="Grid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68">
    <w:name w:val="Grid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9">
    <w:name w:val="Grid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70">
    <w:name w:val="Grid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Grid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Grid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Grid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Grid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5">
    <w:name w:val="Grid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6">
    <w:name w:val="Grid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7">
    <w:name w:val="List Table 1 Light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8">
    <w:name w:val="List Table 1 Light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9">
    <w:name w:val="List Table 1 Light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0">
    <w:name w:val="List Table 1 Light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1">
    <w:name w:val="List Table 1 Light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2">
    <w:name w:val="List Table 1 Light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3">
    <w:name w:val="List Table 1 Light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84">
    <w:name w:val="List Table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85">
    <w:name w:val="List Table 2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86">
    <w:name w:val="List Table 2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87">
    <w:name w:val="List Table 2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88">
    <w:name w:val="List Table 2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89">
    <w:name w:val="List Table 2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90">
    <w:name w:val="List Table 2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91">
    <w:name w:val="List Table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3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3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3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3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List Table 3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List Table 3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8">
    <w:name w:val="List Table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List Table 4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List Table 4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List Table 4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List Table 4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List Table 4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List Table 4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List Table 5 Dark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6">
    <w:name w:val="List Table 5 Dark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7">
    <w:name w:val="List Table 5 Dark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8">
    <w:name w:val="List Table 5 Dark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9">
    <w:name w:val="List Table 5 Dark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0">
    <w:name w:val="List Table 5 Dark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1">
    <w:name w:val="List Table 5 Dark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12">
    <w:name w:val="List Table 6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13">
    <w:name w:val="List Table 6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14">
    <w:name w:val="List Table 6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15">
    <w:name w:val="List Table 6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16">
    <w:name w:val="List Table 6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17">
    <w:name w:val="List Table 6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18">
    <w:name w:val="List Table 6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19">
    <w:name w:val="List Table 7 Colorful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20">
    <w:name w:val="List Table 7 Colorful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21">
    <w:name w:val="List Table 7 Colorful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22">
    <w:name w:val="List Table 7 Colorful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23">
    <w:name w:val="List Table 7 Colorful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24">
    <w:name w:val="List Table 7 Colorful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25">
    <w:name w:val="List Table 7 Colorful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26">
    <w:name w:val="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7">
    <w:name w:val="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8">
    <w:name w:val="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9">
    <w:name w:val="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0">
    <w:name w:val="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1">
    <w:name w:val="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2">
    <w:name w:val="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3">
    <w:name w:val="Bordered &amp; Lined - Accent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34">
    <w:name w:val="Bordered &amp; Lined - Accent 1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35">
    <w:name w:val="Bordered &amp; Lined - Accent 2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36">
    <w:name w:val="Bordered &amp; Lined - Accent 3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37">
    <w:name w:val="Bordered &amp; Lined - Accent 4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38">
    <w:name w:val="Bordered &amp; Lined - Accent 5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39">
    <w:name w:val="Bordered &amp; Lined - Accent 6"/>
    <w:basedOn w:val="86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40">
    <w:name w:val="Bordered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41">
    <w:name w:val="Bordered - Accent 1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42">
    <w:name w:val="Bordered - Accent 2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43">
    <w:name w:val="Bordered - Accent 3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44">
    <w:name w:val="Bordered - Accent 4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45">
    <w:name w:val="Bordered - Accent 5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46">
    <w:name w:val="Bordered - Accent 6"/>
    <w:basedOn w:val="86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47">
    <w:name w:val="footnote text"/>
    <w:basedOn w:val="864"/>
    <w:link w:val="848"/>
    <w:uiPriority w:val="99"/>
    <w:semiHidden/>
    <w:unhideWhenUsed/>
    <w:pPr>
      <w:spacing w:after="40" w:line="240" w:lineRule="auto"/>
    </w:pPr>
    <w:rPr>
      <w:sz w:val="18"/>
    </w:rPr>
  </w:style>
  <w:style w:type="character" w:styleId="848">
    <w:name w:val="Footnote Text Char"/>
    <w:link w:val="847"/>
    <w:uiPriority w:val="99"/>
    <w:rPr>
      <w:sz w:val="18"/>
    </w:rPr>
  </w:style>
  <w:style w:type="character" w:styleId="849">
    <w:name w:val="footnote reference"/>
    <w:basedOn w:val="866"/>
    <w:uiPriority w:val="99"/>
    <w:unhideWhenUsed/>
    <w:rPr>
      <w:vertAlign w:val="superscript"/>
    </w:rPr>
  </w:style>
  <w:style w:type="paragraph" w:styleId="850">
    <w:name w:val="endnote text"/>
    <w:basedOn w:val="864"/>
    <w:link w:val="851"/>
    <w:uiPriority w:val="99"/>
    <w:semiHidden/>
    <w:unhideWhenUsed/>
    <w:pPr>
      <w:spacing w:after="0" w:line="240" w:lineRule="auto"/>
    </w:pPr>
    <w:rPr>
      <w:sz w:val="20"/>
    </w:rPr>
  </w:style>
  <w:style w:type="character" w:styleId="851">
    <w:name w:val="Endnote Text Char"/>
    <w:link w:val="850"/>
    <w:uiPriority w:val="99"/>
    <w:rPr>
      <w:sz w:val="20"/>
    </w:rPr>
  </w:style>
  <w:style w:type="character" w:styleId="852">
    <w:name w:val="endnote reference"/>
    <w:basedOn w:val="866"/>
    <w:uiPriority w:val="99"/>
    <w:semiHidden/>
    <w:unhideWhenUsed/>
    <w:rPr>
      <w:vertAlign w:val="superscript"/>
    </w:rPr>
  </w:style>
  <w:style w:type="paragraph" w:styleId="853">
    <w:name w:val="toc 1"/>
    <w:basedOn w:val="864"/>
    <w:next w:val="864"/>
    <w:uiPriority w:val="39"/>
    <w:unhideWhenUsed/>
    <w:pPr>
      <w:ind w:left="0" w:right="0" w:firstLine="0"/>
      <w:spacing w:after="57"/>
    </w:pPr>
  </w:style>
  <w:style w:type="paragraph" w:styleId="854">
    <w:name w:val="toc 2"/>
    <w:basedOn w:val="864"/>
    <w:next w:val="864"/>
    <w:uiPriority w:val="39"/>
    <w:unhideWhenUsed/>
    <w:pPr>
      <w:ind w:left="283" w:right="0" w:firstLine="0"/>
      <w:spacing w:after="57"/>
    </w:pPr>
  </w:style>
  <w:style w:type="paragraph" w:styleId="855">
    <w:name w:val="toc 3"/>
    <w:basedOn w:val="864"/>
    <w:next w:val="864"/>
    <w:uiPriority w:val="39"/>
    <w:unhideWhenUsed/>
    <w:pPr>
      <w:ind w:left="567" w:right="0" w:firstLine="0"/>
      <w:spacing w:after="57"/>
    </w:pPr>
  </w:style>
  <w:style w:type="paragraph" w:styleId="856">
    <w:name w:val="toc 4"/>
    <w:basedOn w:val="864"/>
    <w:next w:val="864"/>
    <w:uiPriority w:val="39"/>
    <w:unhideWhenUsed/>
    <w:pPr>
      <w:ind w:left="850" w:right="0" w:firstLine="0"/>
      <w:spacing w:after="57"/>
    </w:pPr>
  </w:style>
  <w:style w:type="paragraph" w:styleId="857">
    <w:name w:val="toc 5"/>
    <w:basedOn w:val="864"/>
    <w:next w:val="864"/>
    <w:uiPriority w:val="39"/>
    <w:unhideWhenUsed/>
    <w:pPr>
      <w:ind w:left="1134" w:right="0" w:firstLine="0"/>
      <w:spacing w:after="57"/>
    </w:pPr>
  </w:style>
  <w:style w:type="paragraph" w:styleId="858">
    <w:name w:val="toc 6"/>
    <w:basedOn w:val="864"/>
    <w:next w:val="864"/>
    <w:uiPriority w:val="39"/>
    <w:unhideWhenUsed/>
    <w:pPr>
      <w:ind w:left="1417" w:right="0" w:firstLine="0"/>
      <w:spacing w:after="57"/>
    </w:pPr>
  </w:style>
  <w:style w:type="paragraph" w:styleId="859">
    <w:name w:val="toc 7"/>
    <w:basedOn w:val="864"/>
    <w:next w:val="864"/>
    <w:uiPriority w:val="39"/>
    <w:unhideWhenUsed/>
    <w:pPr>
      <w:ind w:left="1701" w:right="0" w:firstLine="0"/>
      <w:spacing w:after="57"/>
    </w:pPr>
  </w:style>
  <w:style w:type="paragraph" w:styleId="860">
    <w:name w:val="toc 8"/>
    <w:basedOn w:val="864"/>
    <w:next w:val="864"/>
    <w:uiPriority w:val="39"/>
    <w:unhideWhenUsed/>
    <w:pPr>
      <w:ind w:left="1984" w:right="0" w:firstLine="0"/>
      <w:spacing w:after="57"/>
    </w:pPr>
  </w:style>
  <w:style w:type="paragraph" w:styleId="861">
    <w:name w:val="toc 9"/>
    <w:basedOn w:val="864"/>
    <w:next w:val="864"/>
    <w:uiPriority w:val="39"/>
    <w:unhideWhenUsed/>
    <w:pPr>
      <w:ind w:left="2268" w:right="0" w:firstLine="0"/>
      <w:spacing w:after="57"/>
    </w:pPr>
  </w:style>
  <w:style w:type="paragraph" w:styleId="862">
    <w:name w:val="TOC Heading"/>
    <w:uiPriority w:val="39"/>
    <w:unhideWhenUsed/>
  </w:style>
  <w:style w:type="paragraph" w:styleId="863">
    <w:name w:val="table of figures"/>
    <w:basedOn w:val="864"/>
    <w:next w:val="864"/>
    <w:uiPriority w:val="99"/>
    <w:unhideWhenUsed/>
    <w:pPr>
      <w:spacing w:after="0" w:afterAutospacing="0"/>
    </w:pPr>
  </w:style>
  <w:style w:type="paragraph" w:styleId="864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865">
    <w:name w:val="Heading 1"/>
    <w:basedOn w:val="864"/>
    <w:link w:val="891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hAnsi="Times New Roman" w:eastAsia="Times New Roman"/>
      <w:b/>
      <w:bCs/>
      <w:sz w:val="48"/>
      <w:szCs w:val="48"/>
    </w:rPr>
  </w:style>
  <w:style w:type="character" w:styleId="866" w:default="1">
    <w:name w:val="Default Paragraph Font"/>
    <w:uiPriority w:val="1"/>
    <w:semiHidden/>
    <w:unhideWhenUsed/>
  </w:style>
  <w:style w:type="table" w:styleId="86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68" w:default="1">
    <w:name w:val="No List"/>
    <w:uiPriority w:val="99"/>
    <w:semiHidden/>
    <w:unhideWhenUsed/>
  </w:style>
  <w:style w:type="table" w:styleId="869">
    <w:name w:val="Table Grid"/>
    <w:basedOn w:val="867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styleId="870" w:customStyle="1">
    <w:name w:val="Абзац списка1"/>
    <w:basedOn w:val="864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71">
    <w:name w:val="Body Text Indent"/>
    <w:basedOn w:val="864"/>
    <w:link w:val="872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</w:rPr>
  </w:style>
  <w:style w:type="character" w:styleId="872" w:customStyle="1">
    <w:name w:val="Основной текст с отступом Знак"/>
    <w:link w:val="871"/>
    <w:rPr>
      <w:rFonts w:ascii="Times New Roman" w:hAnsi="Times New Roman" w:eastAsia="Times New Roman"/>
      <w:sz w:val="24"/>
      <w:szCs w:val="24"/>
    </w:rPr>
  </w:style>
  <w:style w:type="paragraph" w:styleId="873">
    <w:name w:val="Balloon Text"/>
    <w:basedOn w:val="864"/>
    <w:link w:val="874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styleId="874" w:customStyle="1">
    <w:name w:val="Текст выноски Знак"/>
    <w:link w:val="873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75" w:customStyle="1">
    <w:name w:val="Стиль3"/>
    <w:basedOn w:val="864"/>
    <w:link w:val="876"/>
    <w:pPr>
      <w:ind w:firstLine="567"/>
      <w:jc w:val="both"/>
      <w:keepLines/>
      <w:spacing w:after="0" w:line="360" w:lineRule="auto"/>
    </w:pPr>
    <w:rPr>
      <w:rFonts w:ascii="Arial" w:hAnsi="Arial" w:eastAsia="Times New Roman"/>
    </w:rPr>
  </w:style>
  <w:style w:type="character" w:styleId="876" w:customStyle="1">
    <w:name w:val="Стиль3 Знак"/>
    <w:link w:val="875"/>
    <w:rPr>
      <w:rFonts w:ascii="Arial" w:hAnsi="Arial" w:eastAsia="Times New Roman" w:cs="Arial"/>
      <w:sz w:val="22"/>
      <w:szCs w:val="22"/>
    </w:rPr>
  </w:style>
  <w:style w:type="paragraph" w:styleId="877">
    <w:name w:val="Header"/>
    <w:basedOn w:val="864"/>
    <w:link w:val="878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78" w:customStyle="1">
    <w:name w:val="Верхний колонтитул Знак"/>
    <w:link w:val="877"/>
    <w:uiPriority w:val="99"/>
    <w:rPr>
      <w:sz w:val="22"/>
      <w:szCs w:val="22"/>
      <w:lang w:eastAsia="en-US"/>
    </w:rPr>
  </w:style>
  <w:style w:type="paragraph" w:styleId="879">
    <w:name w:val="Footer"/>
    <w:basedOn w:val="864"/>
    <w:link w:val="880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80" w:customStyle="1">
    <w:name w:val="Нижний колонтитул Знак"/>
    <w:link w:val="879"/>
    <w:uiPriority w:val="99"/>
    <w:rPr>
      <w:sz w:val="22"/>
      <w:szCs w:val="22"/>
      <w:lang w:eastAsia="en-US"/>
    </w:rPr>
  </w:style>
  <w:style w:type="character" w:styleId="881" w:customStyle="1">
    <w:name w:val="Font Style39"/>
    <w:uiPriority w:val="99"/>
    <w:rPr>
      <w:rFonts w:ascii="Times New Roman" w:hAnsi="Times New Roman" w:cs="Times New Roman"/>
      <w:b/>
      <w:bCs/>
      <w:sz w:val="28"/>
      <w:szCs w:val="28"/>
    </w:rPr>
  </w:style>
  <w:style w:type="character" w:styleId="882">
    <w:name w:val="annotation reference"/>
    <w:uiPriority w:val="99"/>
    <w:semiHidden/>
    <w:unhideWhenUsed/>
    <w:rPr>
      <w:sz w:val="16"/>
      <w:szCs w:val="16"/>
    </w:rPr>
  </w:style>
  <w:style w:type="paragraph" w:styleId="883">
    <w:name w:val="annotation text"/>
    <w:basedOn w:val="864"/>
    <w:link w:val="884"/>
    <w:uiPriority w:val="99"/>
    <w:semiHidden/>
    <w:unhideWhenUsed/>
    <w:rPr>
      <w:sz w:val="20"/>
      <w:szCs w:val="20"/>
    </w:rPr>
  </w:style>
  <w:style w:type="character" w:styleId="884" w:customStyle="1">
    <w:name w:val="Текст примечания Знак"/>
    <w:link w:val="883"/>
    <w:uiPriority w:val="99"/>
    <w:semiHidden/>
    <w:rPr>
      <w:lang w:eastAsia="en-US"/>
    </w:rPr>
  </w:style>
  <w:style w:type="paragraph" w:styleId="885">
    <w:name w:val="annotation subject"/>
    <w:basedOn w:val="883"/>
    <w:next w:val="883"/>
    <w:link w:val="886"/>
    <w:uiPriority w:val="99"/>
    <w:semiHidden/>
    <w:unhideWhenUsed/>
    <w:rPr>
      <w:b/>
      <w:bCs/>
    </w:rPr>
  </w:style>
  <w:style w:type="character" w:styleId="886" w:customStyle="1">
    <w:name w:val="Тема примечания Знак"/>
    <w:link w:val="885"/>
    <w:uiPriority w:val="99"/>
    <w:semiHidden/>
    <w:rPr>
      <w:b/>
      <w:bCs/>
      <w:lang w:eastAsia="en-US"/>
    </w:rPr>
  </w:style>
  <w:style w:type="paragraph" w:styleId="887">
    <w:name w:val="List Paragraph"/>
    <w:basedOn w:val="864"/>
    <w:uiPriority w:val="34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88">
    <w:name w:val="Plain Text"/>
    <w:basedOn w:val="864"/>
    <w:link w:val="889"/>
    <w:uiPriority w:val="99"/>
    <w:unhideWhenUsed/>
    <w:pPr>
      <w:spacing w:after="0" w:line="240" w:lineRule="auto"/>
    </w:pPr>
    <w:rPr>
      <w:rFonts w:eastAsia="Times New Roman"/>
      <w:szCs w:val="21"/>
    </w:rPr>
  </w:style>
  <w:style w:type="character" w:styleId="889" w:customStyle="1">
    <w:name w:val="Текст Знак"/>
    <w:link w:val="888"/>
    <w:uiPriority w:val="99"/>
    <w:rPr>
      <w:rFonts w:eastAsia="Times New Roman" w:cs="Times New Roman"/>
      <w:sz w:val="22"/>
      <w:szCs w:val="21"/>
      <w:lang w:eastAsia="en-US"/>
    </w:rPr>
  </w:style>
  <w:style w:type="character" w:styleId="890">
    <w:name w:val="Hyperlink"/>
    <w:uiPriority w:val="99"/>
    <w:unhideWhenUsed/>
    <w:rPr>
      <w:color w:val="0000ff"/>
      <w:u w:val="single"/>
    </w:rPr>
  </w:style>
  <w:style w:type="character" w:styleId="891" w:customStyle="1">
    <w:name w:val="Заголовок 1 Знак"/>
    <w:link w:val="865"/>
    <w:uiPriority w:val="9"/>
    <w:rPr>
      <w:rFonts w:ascii="Times New Roman" w:hAnsi="Times New Roman" w:eastAsia="Times New Roman"/>
      <w:b/>
      <w:bCs/>
      <w:sz w:val="48"/>
      <w:szCs w:val="48"/>
    </w:rPr>
  </w:style>
  <w:style w:type="character" w:styleId="892" w:customStyle="1">
    <w:name w:val="holder-article"/>
    <w:basedOn w:val="866"/>
  </w:style>
  <w:style w:type="character" w:styleId="893" w:customStyle="1">
    <w:name w:val="holder-desc"/>
    <w:basedOn w:val="866"/>
  </w:style>
  <w:style w:type="character" w:styleId="894" w:customStyle="1">
    <w:name w:val="b-filters__label_name"/>
    <w:basedOn w:val="866"/>
  </w:style>
  <w:style w:type="character" w:styleId="895">
    <w:name w:val="Strong"/>
    <w:uiPriority w:val="22"/>
    <w:qFormat/>
    <w:rPr>
      <w:b/>
      <w:bCs/>
    </w:rPr>
  </w:style>
  <w:style w:type="character" w:styleId="896" w:customStyle="1">
    <w:name w:val="apple-converted-space"/>
    <w:basedOn w:val="866"/>
  </w:style>
  <w:style w:type="character" w:styleId="897" w:customStyle="1">
    <w:name w:val="Неразрешенное упоминание1"/>
    <w:basedOn w:val="866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7E189-65BB-4BEC-8D9E-42B4AD0C9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Р7-Офис/7.4.0.351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gammel_ea</dc:creator>
  <cp:revision>16</cp:revision>
  <dcterms:created xsi:type="dcterms:W3CDTF">2023-11-20T06:23:00Z</dcterms:created>
  <dcterms:modified xsi:type="dcterms:W3CDTF">2024-05-03T03:45:55Z</dcterms:modified>
</cp:coreProperties>
</file>